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Study Guide: Ch.25.3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Answer the guiding questions and define the key terms as you read through the section. Do not use Google unless you absolutely need to.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Guiding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1919, who had the right to vote in Germany that did not yet have the right to vote in America?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“war guilt” clause of the Treaty of Versailles?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How was German discontent with the Weimar Republic demonstrated in the 1920 elections?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German government print huge amounts of money? What was the result?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the leader of the National Socialist German Workers’ Party?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Hitler view the German leaders who had signed the Treaty of Versailles?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one of Hitler’s first acts when he became leader of the Nazis?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were Hitler’s Brownshirts like Mussolini’s Blackshirts?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Hitler claim that the German people were superior to?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According to Hitler, who were Germany’s two greatest enemies?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 1923, how many members did th Nazi party have?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 1928, how many members did the Nazi party have?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German unemployment rate in 1932?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the Nazis claim was responsible for the economic crisis?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Paul von Hindenburg do in 1933?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Hitler blame for the 1933 Reichstag fire?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Hitler’s private army?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restrictions were placed on German Jews in April of 1933 and January of 1934?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during the event known as Kristallnacht?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Weimar Republic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Freikorps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coup d’etat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Platform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Third Reich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Mein Kampf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propaganda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